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71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1090930</wp:posOffset>
            </wp:positionH>
            <wp:positionV relativeFrom="paragraph">
              <wp:posOffset>25400</wp:posOffset>
            </wp:positionV>
            <wp:extent cx="1066800" cy="7010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6800" cy="7010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 xml:space="preserve">PARECER CONCLUSIVO DO EXERCÍCIO </w:t>
      </w:r>
      <w:r>
        <w:rPr>
          <w:rStyle w:val="CharStyle9"/>
          <w:b/>
          <w:bCs/>
          <w:lang w:val="en-US" w:eastAsia="en-US" w:bidi="en-US"/>
        </w:rPr>
        <w:t xml:space="preserve">2021 </w:t>
      </w:r>
      <w:r>
        <w:rPr>
          <w:rStyle w:val="CharStyle9"/>
          <w:b/>
          <w:bCs/>
        </w:rPr>
        <w:t xml:space="preserve">N°. </w:t>
      </w:r>
      <w:r>
        <w:rPr>
          <w:rStyle w:val="CharStyle9"/>
          <w:b/>
          <w:bCs/>
          <w:lang w:val="en-US" w:eastAsia="en-US" w:bidi="en-US"/>
        </w:rPr>
        <w:t>179/2022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left"/>
      </w:pPr>
      <w:r>
        <w:rPr>
          <w:rStyle w:val="CharStyle3"/>
          <w:b/>
          <w:bCs/>
        </w:rPr>
        <w:t xml:space="preserve">Órgão Concessor: </w:t>
      </w:r>
      <w:r>
        <w:rPr>
          <w:rStyle w:val="CharStyle3"/>
        </w:rPr>
        <w:t>Prefeitura de Guarulhos - 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25400" distR="25400" simplePos="0" relativeHeight="125829379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12700</wp:posOffset>
                </wp:positionV>
                <wp:extent cx="917575" cy="113982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1139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Entidade: Endereço: CNPJ n°: Termo de Colaboração n°: P.A. de Celebração n°: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3.pt;margin-top:1.pt;width:72.25pt;height:89.75pt;z-index:-125829374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Entidade: Endereço: CNPJ n°: Termo de Colaboração n°: P.A. de Celebração n°: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 xml:space="preserve">INSTITUIÇÃO EDUCACIONAL CIDADANIA E ESPORTE - IECE Rua Doutor Jorge Queiroz de Morais, n“ 73-Parque Mikail II-Guarulhos/SP </w:t>
      </w:r>
      <w:r>
        <w:rPr>
          <w:rStyle w:val="CharStyle3"/>
          <w:b/>
          <w:bCs/>
          <w:lang w:val="en-US" w:eastAsia="en-US" w:bidi="en-US"/>
        </w:rPr>
        <w:t>21.221.657/0002-30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bookmarkStart w:id="2" w:name="bookmark2"/>
      <w:r>
        <w:rPr>
          <w:rStyle w:val="CharStyle9"/>
          <w:b/>
          <w:bCs/>
          <w:lang w:val="en-US" w:eastAsia="en-US" w:bidi="en-US"/>
        </w:rPr>
        <w:t xml:space="preserve">16924/2018 </w:t>
      </w:r>
      <w:r>
        <w:rPr>
          <w:rStyle w:val="CharStyle9"/>
          <w:b/>
          <w:bCs/>
          <w:color w:val="000000"/>
        </w:rPr>
        <w:t xml:space="preserve">- </w:t>
      </w:r>
      <w:r>
        <w:rPr>
          <w:rStyle w:val="CharStyle9"/>
          <w:b/>
          <w:bCs/>
        </w:rPr>
        <w:t xml:space="preserve">SECEL03-RPP </w:t>
      </w:r>
      <w:r>
        <w:rPr>
          <w:rStyle w:val="CharStyle9"/>
          <w:b/>
          <w:bCs/>
          <w:color w:val="000000"/>
        </w:rPr>
        <w:t xml:space="preserve">- </w:t>
      </w:r>
      <w:r>
        <w:rPr>
          <w:rStyle w:val="CharStyle9"/>
          <w:b/>
          <w:bCs/>
          <w:lang w:val="en-US" w:eastAsia="en-US" w:bidi="en-US"/>
        </w:rPr>
        <w:t xml:space="preserve">05 </w:t>
      </w:r>
      <w:r>
        <w:rPr>
          <w:rStyle w:val="CharStyle9"/>
          <w:b/>
          <w:bCs/>
        </w:rPr>
        <w:t>anos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60" w:line="271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2181860</wp:posOffset>
                </wp:positionH>
                <wp:positionV relativeFrom="paragraph">
                  <wp:posOffset>12700</wp:posOffset>
                </wp:positionV>
                <wp:extent cx="502920" cy="1587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032/2018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1.80000000000001pt;margin-top:1.pt;width:39.600000000000001pt;height:12.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032/2018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9"/>
          <w:b/>
          <w:bCs/>
          <w:lang w:val="en-US" w:eastAsia="en-US" w:bidi="en-US"/>
        </w:rPr>
        <w:t>29.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"/>
        </w:rPr>
        <w:t xml:space="preserve">Em atendimento ao constante no termo em referência e às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 xml:space="preserve">do Tribunal de Contas do Estado de São Paulo procedemos à verificação da Prestação de Contas recebidas da entidade INSTITUIÇÃO EDUCACIONAL CIDADANIA E ESPORTE - IECE, referente ao exercício de </w:t>
      </w:r>
      <w:r>
        <w:rPr>
          <w:rStyle w:val="CharStyle3"/>
          <w:lang w:val="en-US" w:eastAsia="en-US" w:bidi="en-US"/>
        </w:rPr>
        <w:t xml:space="preserve">2021, </w:t>
      </w:r>
      <w:r>
        <w:rPr>
          <w:rStyle w:val="CharStyle3"/>
        </w:rPr>
        <w:t xml:space="preserve">conforme consta no P.A. de prestação de contas n°. </w:t>
      </w:r>
      <w:r>
        <w:rPr>
          <w:rStyle w:val="CharStyle3"/>
          <w:lang w:val="en-US" w:eastAsia="en-US" w:bidi="en-US"/>
        </w:rPr>
        <w:t xml:space="preserve">14575/2021 </w:t>
      </w:r>
      <w:r>
        <w:rPr>
          <w:rStyle w:val="CharStyle3"/>
        </w:rPr>
        <w:t>e com base nos documentos analisados atestamos que: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62" w:lineRule="auto"/>
        <w:ind w:left="0" w:right="0" w:firstLine="0"/>
        <w:jc w:val="both"/>
      </w:pPr>
      <w:r>
        <w:rPr>
          <w:rStyle w:val="CharStyle3"/>
          <w:color w:val="000000"/>
        </w:rPr>
        <w:t>I - a Entidade beneficiária funciona regularmente à Rua Doutor Jorge Queiroz de Morais, n° 73-Parque Mikail II-Guarulhos/SP, é uma Entidade sem fins lucrativos, que tem por finalidade estatutária: promover a realização de cursos e outras atividades em prol da educação, apoiar e incentivar o desenvolvimento de projetos de educação, educação infantil, escolarização de jovens e adultos;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5" w:name="bookmark5"/>
      <w:r>
        <w:rPr>
          <w:rStyle w:val="CharStyle9"/>
          <w:b/>
          <w:bCs/>
        </w:rPr>
        <w:t>II - (quadro a seguir);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III </w:t>
      </w:r>
      <w:r>
        <w:rPr>
          <w:rStyle w:val="CharStyle3"/>
          <w:color w:val="000000"/>
        </w:rPr>
        <w:t xml:space="preserve">- </w:t>
      </w:r>
      <w:r>
        <w:rPr>
          <w:rStyle w:val="CharStyle3"/>
        </w:rPr>
        <w:t xml:space="preserve">as prestações de contas foram recebidas em: </w:t>
      </w:r>
      <w:r>
        <w:rPr>
          <w:rStyle w:val="CharStyle3"/>
          <w:lang w:val="en-US" w:eastAsia="en-US" w:bidi="en-US"/>
        </w:rPr>
        <w:t xml:space="preserve">24/05/2021,22/10/2021 </w:t>
      </w:r>
      <w:r>
        <w:rPr>
          <w:rStyle w:val="CharStyle3"/>
        </w:rPr>
        <w:t>e 21/02/2022; não houve aplicação de sanções por eventuais ausências de comprovação ou desvio de finalidade;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7" w:name="bookmark7"/>
      <w:r>
        <w:rPr>
          <w:rStyle w:val="CharStyle9"/>
          <w:b/>
          <w:bCs/>
        </w:rPr>
        <w:t>IV - (quadro a seguir);</w:t>
      </w:r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4" w:val="left"/>
        </w:tabs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não houve devolução de eventuais glosas ou saldos; houve autorização para utilização de saldos em exercício subsequente;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line="271" w:lineRule="auto"/>
        <w:ind w:left="0" w:right="0" w:firstLine="0"/>
        <w:jc w:val="both"/>
      </w:pPr>
      <w:r>
        <w:rPr>
          <w:rStyle w:val="CharStyle3"/>
          <w:b/>
          <w:bCs/>
          <w:color w:val="2B2B2B"/>
        </w:rPr>
        <w:t xml:space="preserve">- </w:t>
      </w:r>
      <w:r>
        <w:rPr>
          <w:rStyle w:val="CharStyle3"/>
        </w:rPr>
        <w:t xml:space="preserve">as atividades desenvolvidas com as verbas públicas repassadas se compatibilizam com as metas propostas e os resultados alcançados e estão em conformidade com o objeto do repasse e o </w:t>
      </w:r>
      <w:r>
        <w:rPr>
          <w:rStyle w:val="CharStyle3"/>
          <w:lang w:val="en-US" w:eastAsia="en-US" w:bidi="en-US"/>
        </w:rPr>
        <w:t xml:space="preserve">respective </w:t>
      </w:r>
      <w:r>
        <w:rPr>
          <w:rStyle w:val="CharStyle3"/>
        </w:rPr>
        <w:t>plano de trabalho e de metas pactuadas;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56" w:val="left"/>
        </w:tabs>
        <w:bidi w:val="0"/>
        <w:spacing w:before="0" w:after="120" w:line="269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foram cumpridas as cláusulas pactuadas em conformidade com a regulamentação que rege a matéria;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4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3"/>
          <w:b/>
          <w:bCs/>
        </w:rPr>
        <w:t xml:space="preserve">- </w:t>
      </w:r>
      <w:r>
        <w:rPr>
          <w:rStyle w:val="CharStyle3"/>
        </w:rPr>
        <w:t>os documentos comprobatórios dos gastos efetuados com os recursos da parceria foram disponibilizados pela entidade e foram devidamente contabilizados, conforme atestado pelo contador da beneficiária;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3"/>
          <w:b/>
          <w:bCs/>
        </w:rPr>
        <w:t xml:space="preserve">IX - </w:t>
      </w:r>
      <w:r>
        <w:rPr>
          <w:rStyle w:val="CharStyle3"/>
        </w:rPr>
        <w:t xml:space="preserve">não se aplica, conforme </w:t>
      </w:r>
      <w:r>
        <w:rPr>
          <w:rStyle w:val="CharStyle3"/>
          <w:lang w:val="en-US" w:eastAsia="en-US" w:bidi="en-US"/>
        </w:rPr>
        <w:t xml:space="preserve">§1° </w:t>
      </w:r>
      <w:r>
        <w:rPr>
          <w:rStyle w:val="CharStyle3"/>
        </w:rPr>
        <w:t xml:space="preserve">do artigo </w:t>
      </w:r>
      <w:r>
        <w:rPr>
          <w:rStyle w:val="CharStyle3"/>
          <w:lang w:val="en-US" w:eastAsia="en-US" w:bidi="en-US"/>
        </w:rPr>
        <w:t xml:space="preserve">200 </w:t>
      </w:r>
      <w:r>
        <w:rPr>
          <w:rStyle w:val="CharStyle3"/>
        </w:rPr>
        <w:t xml:space="preserve">das Instruções n° </w:t>
      </w:r>
      <w:r>
        <w:rPr>
          <w:rStyle w:val="CharStyle3"/>
          <w:lang w:val="en-US" w:eastAsia="en-US" w:bidi="en-US"/>
        </w:rPr>
        <w:t xml:space="preserve">01/2020 </w:t>
      </w:r>
      <w:r>
        <w:rPr>
          <w:rStyle w:val="CharStyle3"/>
        </w:rPr>
        <w:t>- TCESP;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line="271" w:lineRule="auto"/>
        <w:ind w:left="0" w:right="0" w:firstLine="0"/>
        <w:jc w:val="both"/>
      </w:pPr>
      <w:r>
        <w:rPr>
          <w:rStyle w:val="CharStyle3"/>
          <w:b/>
          <w:bCs/>
          <w:color w:val="2B2B2B"/>
        </w:rPr>
        <w:t xml:space="preserve">- </w:t>
      </w:r>
      <w:r>
        <w:rPr>
          <w:rStyle w:val="CharStyle3"/>
        </w:rPr>
        <w:t>os originais dos comprovantes de gastos contém a identificação da Entidade, o tipo de repasse, o número do ajuste e o órgão repassador a que se referem;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3"/>
          <w:b/>
          <w:bCs/>
          <w:color w:val="2B2B2B"/>
        </w:rPr>
        <w:t xml:space="preserve">- </w:t>
      </w:r>
      <w:r>
        <w:rPr>
          <w:rStyle w:val="CharStyle3"/>
        </w:rPr>
        <w:t>houve regularidade dos recolhimentos de encargos trabalhistas, conforme as respectivas certidões atualizadas, disponibilizadas pela entidade parceira;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6" w:val="left"/>
        </w:tabs>
        <w:bidi w:val="0"/>
        <w:spacing w:before="0" w:line="269" w:lineRule="auto"/>
        <w:ind w:left="0" w:right="0" w:firstLine="0"/>
        <w:jc w:val="both"/>
      </w:pPr>
      <w:r>
        <w:rPr>
          <w:rStyle w:val="CharStyle3"/>
          <w:b/>
          <w:bCs/>
          <w:color w:val="2B2B2B"/>
        </w:rPr>
        <w:t xml:space="preserve">- </w:t>
      </w:r>
      <w:r>
        <w:rPr>
          <w:rStyle w:val="CharStyle3"/>
        </w:rPr>
        <w:t>foram atendidos os princípios da legalidade, impessoalidade, moralidade, publicidade, eficiência, motivação e interesse público;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 xml:space="preserve">XIII - </w:t>
      </w:r>
      <w:r>
        <w:rPr>
          <w:rStyle w:val="CharStyle3"/>
        </w:rPr>
        <w:t xml:space="preserve">Responsável pelo Departamento de Controle Interno </w:t>
      </w:r>
      <w:r>
        <w:rPr>
          <w:rStyle w:val="CharStyle3"/>
          <w:color w:val="000000"/>
        </w:rPr>
        <w:t xml:space="preserve">- </w:t>
      </w:r>
      <w:r>
        <w:rPr>
          <w:rStyle w:val="CharStyle3"/>
        </w:rPr>
        <w:t xml:space="preserve">CGM01, Rodrigo Souza Santos, CPF </w:t>
      </w:r>
      <w:r>
        <w:rPr>
          <w:rStyle w:val="CharStyle3"/>
          <w:lang w:val="en-US" w:eastAsia="en-US" w:bidi="en-US"/>
        </w:rPr>
        <w:t xml:space="preserve">359.816.908-60 </w:t>
      </w:r>
      <w:r>
        <w:rPr>
          <w:rStyle w:val="CharStyle3"/>
        </w:rPr>
        <w:t>-Diretor.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left"/>
      </w:pPr>
      <w:r>
        <w:rPr>
          <w:rStyle w:val="CharStyle3"/>
          <w:b/>
          <w:bCs/>
        </w:rPr>
        <w:t xml:space="preserve">XIV </w:t>
      </w:r>
      <w:r>
        <w:rPr>
          <w:rStyle w:val="CharStyle3"/>
          <w:b/>
          <w:bCs/>
          <w:color w:val="2B2B2B"/>
        </w:rPr>
        <w:t xml:space="preserve">- </w:t>
      </w:r>
      <w:r>
        <w:rPr>
          <w:rStyle w:val="CharStyle3"/>
        </w:rPr>
        <w:t xml:space="preserve">foram realizadas visitas </w:t>
      </w:r>
      <w:r>
        <w:rPr>
          <w:rStyle w:val="CharStyle3"/>
          <w:lang w:val="en-US" w:eastAsia="en-US" w:bidi="en-US"/>
        </w:rPr>
        <w:t xml:space="preserve">in </w:t>
      </w:r>
      <w:r>
        <w:rPr>
          <w:rStyle w:val="CharStyle3"/>
        </w:rPr>
        <w:t>loco e/ou virtuais pelo órgão concessor, conforme Relatórios dos Setores responsáveis;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0"/>
        <w:jc w:val="center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38100</wp:posOffset>
            </wp:positionV>
            <wp:extent cx="1073150" cy="697865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73150" cy="697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  <w:color w:val="2B2B2B"/>
        </w:rPr>
        <w:t xml:space="preserve">PREFEITURA </w:t>
      </w:r>
      <w:r>
        <w:rPr>
          <w:rStyle w:val="CharStyle3"/>
          <w:b/>
          <w:bCs/>
          <w:color w:val="2B2B2B"/>
          <w:lang w:val="en-US" w:eastAsia="en-US" w:bidi="en-US"/>
        </w:rPr>
        <w:t xml:space="preserve">DE </w:t>
      </w:r>
      <w:r>
        <w:rPr>
          <w:rStyle w:val="CharStyle3"/>
          <w:b/>
          <w:bCs/>
          <w:color w:val="2B2B2B"/>
        </w:rPr>
        <w:t>GUARULHOS</w:t>
        <w:br/>
        <w:t>SECRETARIA DE EDUCAÇÃO</w:t>
        <w:br/>
        <w:t>GABINETE DA SUBSECRETÁRIA DE EDUCAÇÃO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</w:pPr>
      <w:r>
        <w:rPr>
          <w:rStyle w:val="CharStyle15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1517"/>
        <w:gridCol w:w="1406"/>
        <w:gridCol w:w="490"/>
        <w:gridCol w:w="1018"/>
        <w:gridCol w:w="1397"/>
        <w:gridCol w:w="1402"/>
        <w:gridCol w:w="629"/>
        <w:gridCol w:w="1085"/>
      </w:tblGrid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ORIGEM DO RECURSO MUNICIPAL: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</w:rPr>
              <w:t>879.638,18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 xml:space="preserve">FONTE DE RECURSO: MDE </w:t>
            </w:r>
            <w:r>
              <w:rPr>
                <w:rStyle w:val="CharStyle17"/>
                <w:b/>
                <w:bCs/>
                <w:color w:val="000000"/>
                <w:lang w:val="pt-PT" w:eastAsia="pt-PT" w:bidi="pt-PT"/>
              </w:rPr>
              <w:t>-</w:t>
            </w:r>
          </w:p>
        </w:tc>
        <w:tc>
          <w:tcPr>
            <w:gridSpan w:val="6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MANUTENÇÃO E DESENVOLVIMENTO DA EDUCAÇÃO</w:t>
            </w:r>
          </w:p>
        </w:tc>
      </w:tr>
      <w:tr>
        <w:trPr>
          <w:trHeight w:val="2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Nota de Empenho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Ordem de Pagamento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000000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000000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000000"/>
                <w:lang w:val="pt-PT" w:eastAsia="pt-PT" w:bidi="pt-PT"/>
              </w:rPr>
              <w:t>Valor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1067/2020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01/01/2021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36.625,35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2003/2021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36.625,35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5178/2021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214.014,89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8706/2021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</w:rPr>
              <w:t>16.264,35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20797/2021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</w:rPr>
              <w:t>70.000,00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23256/2021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2B2B2B"/>
              </w:rPr>
              <w:t>70.000,00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27030/2021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70.000,00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29884/2021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color w:val="000000"/>
              </w:rPr>
              <w:t>28/07/2021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27.107,25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1149/2021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18/01/2021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835.169,88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28033/2021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65.704,26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36865/2021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68.926,07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40347/2021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color w:val="000000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7"/>
                <w:color w:val="000000"/>
              </w:rPr>
              <w:t>5.421,45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41369/2021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color w:val="000000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000000"/>
              </w:rPr>
              <w:t>68.926,05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44572/2021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</w:rPr>
              <w:t>68.926,07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49401/2021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</w:rPr>
              <w:t>16.264,35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52508/2021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09/12/2021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color w:val="2B2B2B"/>
              </w:rPr>
              <w:t>68.926,07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1150/2021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18/01/2021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2B2B2B"/>
                <w:lang w:val="pt-PT" w:eastAsia="pt-PT" w:bidi="pt-PT"/>
              </w:rPr>
              <w:t>RS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12.532,02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28034/2021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7"/>
              </w:rPr>
              <w:t>6.266,01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</w:rPr>
              <w:t>39342/2021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18/10/2021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7"/>
              </w:rPr>
              <w:t>6.266,01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color w:val="000000"/>
              </w:rPr>
              <w:t>26652/2021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272.347,28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7"/>
                <w:color w:val="000000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2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 total repassado no exercício (</w:t>
            </w:r>
            <w:r>
              <w:rPr>
                <w:rStyle w:val="CharStyle17"/>
                <w:color w:val="2B2B2B"/>
              </w:rPr>
              <w:t>=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</w:rPr>
              <w:t>879.638,18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pt-PT" w:eastAsia="pt-PT" w:bidi="pt-PT"/>
              </w:rPr>
              <w:t>Saldo transportado do exercício anterior (</w:t>
            </w:r>
            <w:r>
              <w:rPr>
                <w:rStyle w:val="CharStyle17"/>
              </w:rPr>
              <w:t xml:space="preserve">+ 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106.726,25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0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Rendimentos da aplicação financeira (</w:t>
            </w:r>
            <w:r>
              <w:rPr>
                <w:rStyle w:val="CharStyle17"/>
              </w:rPr>
              <w:t>+</w:t>
            </w:r>
            <w:r>
              <w:rPr>
                <w:rStyle w:val="CharStyle17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7"/>
                <w:color w:val="000000"/>
              </w:rPr>
              <w:t>2.305,10</w:t>
            </w: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Valor total da receita (</w:t>
            </w:r>
            <w:r>
              <w:rPr>
                <w:rStyle w:val="CharStyle17"/>
                <w:b/>
                <w:bCs/>
                <w:color w:val="000000"/>
              </w:rPr>
              <w:t>=</w:t>
            </w: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</w:rPr>
              <w:t>988.669,53</w:t>
            </w:r>
          </w:p>
        </w:tc>
      </w:tr>
      <w:tr>
        <w:trPr>
          <w:trHeight w:val="24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Valor das despesas aprovadas ( -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</w:rPr>
              <w:t>935.840,69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300" w:right="0" w:firstLine="0"/>
              <w:jc w:val="lef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Saldo (</w:t>
            </w:r>
            <w:r>
              <w:rPr>
                <w:rStyle w:val="CharStyle17"/>
                <w:b/>
                <w:bCs/>
                <w:color w:val="2B2B2B"/>
              </w:rPr>
              <w:t xml:space="preserve">= </w:t>
            </w: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b/>
                <w:bCs/>
                <w:color w:val="2B2B2B"/>
              </w:rPr>
              <w:t>52.828,84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left"/>
            </w:pPr>
            <w:r>
              <w:rPr>
                <w:rStyle w:val="CharStyle17"/>
                <w:lang w:val="pt-PT" w:eastAsia="pt-PT" w:bidi="pt-PT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color w:val="000000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17"/>
                <w:color w:val="000000"/>
                <w:lang w:val="pt-PT" w:eastAsia="pt-PT" w:bidi="pt-PT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Valor glosado a ser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descontado (</w:t>
            </w:r>
            <w:r>
              <w:rPr>
                <w:rStyle w:val="CharStyle17"/>
                <w:b/>
                <w:bCs/>
                <w:color w:val="2B2B2B"/>
              </w:rPr>
              <w:t>=</w:t>
            </w: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</w:rPr>
              <w:t>675,85</w:t>
            </w:r>
          </w:p>
        </w:tc>
      </w:tr>
      <w:tr>
        <w:trPr>
          <w:trHeight w:val="514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 xml:space="preserve">Saldo não utilizado, transportado para o exercício de </w:t>
            </w:r>
            <w:r>
              <w:rPr>
                <w:rStyle w:val="CharStyle17"/>
                <w:b/>
                <w:bCs/>
                <w:color w:val="2B2B2B"/>
              </w:rPr>
              <w:t xml:space="preserve">2022 </w:t>
            </w: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(</w:t>
            </w:r>
            <w:r>
              <w:rPr>
                <w:rStyle w:val="CharStyle17"/>
                <w:b/>
                <w:bCs/>
                <w:color w:val="2B2B2B"/>
              </w:rPr>
              <w:t>=</w:t>
            </w: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  <w:b/>
                <w:bCs/>
                <w:color w:val="2B2B2B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7"/>
                <w:b/>
                <w:bCs/>
                <w:color w:val="2B2B2B"/>
              </w:rPr>
              <w:t>52.152,99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33" w:h="16862"/>
          <w:pgMar w:top="878" w:right="1351" w:bottom="1119" w:left="1638" w:header="45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Diante da documentação verificada emitimos Parecer Conclusivo favorável à aprovação das despesas no valor de </w:t>
      </w:r>
      <w:r>
        <w:rPr>
          <w:rStyle w:val="CharStyle3"/>
          <w:b/>
          <w:bCs/>
        </w:rPr>
        <w:t xml:space="preserve">RS </w:t>
      </w:r>
      <w:r>
        <w:rPr>
          <w:rStyle w:val="CharStyle3"/>
          <w:b/>
          <w:bCs/>
          <w:lang w:val="en-US" w:eastAsia="en-US" w:bidi="en-US"/>
        </w:rPr>
        <w:t xml:space="preserve">935.840,69, </w:t>
      </w:r>
      <w:r>
        <w:rPr>
          <w:rStyle w:val="CharStyle3"/>
        </w:rPr>
        <w:t xml:space="preserve">destacando que a quantia de </w:t>
      </w:r>
      <w:r>
        <w:rPr>
          <w:rStyle w:val="CharStyle3"/>
          <w:b/>
          <w:bCs/>
        </w:rPr>
        <w:t xml:space="preserve">RS </w:t>
      </w:r>
      <w:r>
        <w:rPr>
          <w:rStyle w:val="CharStyle3"/>
          <w:b/>
          <w:bCs/>
          <w:lang w:val="en-US" w:eastAsia="en-US" w:bidi="en-US"/>
        </w:rPr>
        <w:t xml:space="preserve">52.152,99 </w:t>
      </w:r>
      <w:r>
        <w:rPr>
          <w:rStyle w:val="CharStyle3"/>
        </w:rPr>
        <w:t xml:space="preserve">foi transportada para o exercício de </w:t>
      </w:r>
      <w:r>
        <w:rPr>
          <w:rStyle w:val="CharStyle3"/>
          <w:lang w:val="en-US" w:eastAsia="en-US" w:bidi="en-US"/>
        </w:rPr>
        <w:t xml:space="preserve">2022 </w:t>
      </w:r>
      <w:r>
        <w:rPr>
          <w:rStyle w:val="CharStyle3"/>
        </w:rPr>
        <w:t xml:space="preserve">e a quantia de </w:t>
      </w:r>
      <w:r>
        <w:rPr>
          <w:rStyle w:val="CharStyle3"/>
          <w:b/>
          <w:bCs/>
        </w:rPr>
        <w:t xml:space="preserve">RS </w:t>
      </w:r>
      <w:r>
        <w:rPr>
          <w:rStyle w:val="CharStyle3"/>
          <w:b/>
          <w:bCs/>
          <w:lang w:val="en-US" w:eastAsia="en-US" w:bidi="en-US"/>
        </w:rPr>
        <w:t xml:space="preserve">675,85 </w:t>
      </w:r>
      <w:r>
        <w:rPr>
          <w:rStyle w:val="CharStyle3"/>
        </w:rPr>
        <w:t>será descontada nos próximos repasses.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95" w:h="16906"/>
          <w:pgMar w:top="1108" w:right="0" w:bottom="49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657860</wp:posOffset>
            </wp:positionH>
            <wp:positionV relativeFrom="paragraph">
              <wp:posOffset>12700</wp:posOffset>
            </wp:positionV>
            <wp:extent cx="4492625" cy="27825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4492625" cy="2782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95" w:h="16906"/>
      <w:pgMar w:top="1108" w:right="1356" w:bottom="491" w:left="106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3562350</wp:posOffset>
              </wp:positionH>
              <wp:positionV relativeFrom="page">
                <wp:posOffset>10356850</wp:posOffset>
              </wp:positionV>
              <wp:extent cx="624840" cy="1003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0.5pt;margin-top:815.5pt;width:49.200000000000003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61616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10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61616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color w:val="161616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color w:val="2B2B2B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0" w:line="266" w:lineRule="auto"/>
    </w:pPr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20" w:line="269" w:lineRule="auto"/>
      <w:outlineLvl w:val="0"/>
    </w:pPr>
    <w:rPr>
      <w:b/>
      <w:bCs/>
      <w:i w:val="0"/>
      <w:iCs w:val="0"/>
      <w:smallCaps w:val="0"/>
      <w:strike w:val="0"/>
      <w:color w:val="161616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/>
      <w:bCs/>
      <w:i w:val="0"/>
      <w:iCs w:val="0"/>
      <w:smallCaps w:val="0"/>
      <w:strike w:val="0"/>
      <w:color w:val="2B2B2B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80" w:line="266" w:lineRule="auto"/>
    </w:pPr>
    <w:rPr>
      <w:b w:val="0"/>
      <w:bCs w:val="0"/>
      <w:i w:val="0"/>
      <w:iCs w:val="0"/>
      <w:smallCaps w:val="0"/>
      <w:strike w:val="0"/>
      <w:color w:val="161616"/>
      <w:sz w:val="20"/>
      <w:szCs w:val="20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